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28E4D" w14:textId="0F95306B" w:rsidR="001E0D64" w:rsidRDefault="001E0D64" w:rsidP="001E0D64">
      <w:pPr>
        <w:pStyle w:val="CRCoverPage"/>
        <w:tabs>
          <w:tab w:val="right" w:pos="9639"/>
        </w:tabs>
        <w:spacing w:after="0"/>
        <w:rPr>
          <w:b/>
          <w:i/>
          <w:noProof/>
          <w:sz w:val="28"/>
        </w:rPr>
      </w:pPr>
      <w:r>
        <w:rPr>
          <w:b/>
          <w:noProof/>
          <w:sz w:val="24"/>
        </w:rPr>
        <w:t>3GPP TSG-</w:t>
      </w:r>
      <w:r w:rsidR="00A8222F">
        <w:fldChar w:fldCharType="begin"/>
      </w:r>
      <w:r w:rsidR="00A8222F">
        <w:instrText xml:space="preserve"> DOCPROPERTY  TSG/WGRef  \* MERGEFORMAT </w:instrText>
      </w:r>
      <w:r w:rsidR="00A8222F">
        <w:fldChar w:fldCharType="separate"/>
      </w:r>
      <w:r>
        <w:rPr>
          <w:b/>
          <w:noProof/>
          <w:sz w:val="24"/>
        </w:rPr>
        <w:t>SA2</w:t>
      </w:r>
      <w:r w:rsidR="00A8222F">
        <w:rPr>
          <w:b/>
          <w:noProof/>
          <w:sz w:val="24"/>
        </w:rPr>
        <w:fldChar w:fldCharType="end"/>
      </w:r>
      <w:r>
        <w:rPr>
          <w:b/>
          <w:noProof/>
          <w:sz w:val="24"/>
        </w:rPr>
        <w:t xml:space="preserve"> Meeting </w:t>
      </w:r>
      <w:r w:rsidR="00407450">
        <w:rPr>
          <w:b/>
          <w:noProof/>
          <w:sz w:val="24"/>
        </w:rPr>
        <w:t>#</w:t>
      </w:r>
      <w:r w:rsidR="00407450">
        <w:rPr>
          <w:rFonts w:cs="Arial"/>
          <w:b/>
          <w:noProof/>
          <w:sz w:val="24"/>
        </w:rPr>
        <w:t>16</w:t>
      </w:r>
      <w:r w:rsidR="00944DB3">
        <w:rPr>
          <w:rFonts w:cs="Arial"/>
          <w:b/>
          <w:bCs/>
          <w:sz w:val="24"/>
        </w:rPr>
        <w:t>1</w:t>
      </w:r>
      <w:r w:rsidR="00407450">
        <w:t xml:space="preserve"> </w:t>
      </w:r>
      <w:r w:rsidR="00A8222F">
        <w:fldChar w:fldCharType="begin"/>
      </w:r>
      <w:r w:rsidR="00A8222F">
        <w:instrText xml:space="preserve"> DOCPROPERTY  MtgTitle  \* MERGEFORMAT </w:instrText>
      </w:r>
      <w:r w:rsidR="00A8222F">
        <w:fldChar w:fldCharType="separate"/>
      </w:r>
      <w:r w:rsidR="00A8222F">
        <w:fldChar w:fldCharType="end"/>
      </w:r>
      <w:r>
        <w:rPr>
          <w:b/>
          <w:i/>
          <w:noProof/>
          <w:sz w:val="28"/>
        </w:rPr>
        <w:tab/>
      </w:r>
      <w:r w:rsidR="00A6689F" w:rsidRPr="00A6689F">
        <w:rPr>
          <w:b/>
          <w:i/>
          <w:noProof/>
          <w:sz w:val="28"/>
        </w:rPr>
        <w:t>S2-2402516</w:t>
      </w:r>
    </w:p>
    <w:p w14:paraId="4A69E43B" w14:textId="4D7B9DB2" w:rsidR="001E0D64" w:rsidRDefault="00944DB3" w:rsidP="001E0D64">
      <w:pPr>
        <w:pStyle w:val="CRCoverPage"/>
        <w:outlineLvl w:val="0"/>
        <w:rPr>
          <w:b/>
          <w:noProof/>
          <w:sz w:val="24"/>
        </w:rPr>
      </w:pPr>
      <w:r>
        <w:rPr>
          <w:rFonts w:eastAsiaTheme="minorEastAsia" w:cs="Arial"/>
          <w:b/>
          <w:noProof/>
          <w:sz w:val="24"/>
          <w:lang w:eastAsia="zh-CN"/>
        </w:rPr>
        <w:t>February</w:t>
      </w:r>
      <w:r w:rsidRPr="00E72C5B">
        <w:rPr>
          <w:rFonts w:eastAsiaTheme="minorEastAsia" w:cs="Arial"/>
          <w:b/>
          <w:noProof/>
          <w:sz w:val="24"/>
          <w:lang w:eastAsia="zh-CN"/>
        </w:rPr>
        <w:t xml:space="preserve"> 2</w:t>
      </w:r>
      <w:r>
        <w:rPr>
          <w:rFonts w:eastAsiaTheme="minorEastAsia" w:cs="Arial"/>
          <w:b/>
          <w:noProof/>
          <w:sz w:val="24"/>
          <w:lang w:eastAsia="zh-CN"/>
        </w:rPr>
        <w:t>6</w:t>
      </w:r>
      <w:r w:rsidRPr="00E72C5B">
        <w:rPr>
          <w:rFonts w:eastAsiaTheme="minorEastAsia" w:cs="Arial"/>
          <w:b/>
          <w:noProof/>
          <w:sz w:val="24"/>
          <w:lang w:eastAsia="zh-CN"/>
        </w:rPr>
        <w:t xml:space="preserve"> </w:t>
      </w:r>
      <w:r>
        <w:rPr>
          <w:rFonts w:eastAsiaTheme="minorEastAsia" w:cs="Arial"/>
          <w:b/>
          <w:noProof/>
          <w:sz w:val="24"/>
          <w:lang w:eastAsia="zh-CN"/>
        </w:rPr>
        <w:t>–</w:t>
      </w:r>
      <w:r w:rsidRPr="00E72C5B">
        <w:rPr>
          <w:rFonts w:eastAsiaTheme="minorEastAsia" w:cs="Arial"/>
          <w:b/>
          <w:noProof/>
          <w:sz w:val="24"/>
          <w:lang w:eastAsia="zh-CN"/>
        </w:rPr>
        <w:t xml:space="preserve"> </w:t>
      </w:r>
      <w:r>
        <w:rPr>
          <w:rFonts w:eastAsiaTheme="minorEastAsia" w:cs="Arial"/>
          <w:b/>
          <w:noProof/>
          <w:sz w:val="24"/>
          <w:lang w:eastAsia="zh-CN"/>
        </w:rPr>
        <w:t>March 01</w:t>
      </w:r>
      <w:r w:rsidRPr="00E72C5B">
        <w:rPr>
          <w:rFonts w:eastAsiaTheme="minorEastAsia" w:cs="Arial"/>
          <w:b/>
          <w:noProof/>
          <w:sz w:val="24"/>
          <w:lang w:eastAsia="zh-CN"/>
        </w:rPr>
        <w:t xml:space="preserve">, 2024, </w:t>
      </w:r>
      <w:r>
        <w:rPr>
          <w:rFonts w:eastAsiaTheme="minorEastAsia" w:cs="Arial"/>
          <w:b/>
          <w:noProof/>
          <w:sz w:val="24"/>
          <w:lang w:eastAsia="zh-CN"/>
        </w:rPr>
        <w:t>Athens</w:t>
      </w:r>
      <w:r w:rsidR="00407450">
        <w:rPr>
          <w:rFonts w:cs="Arial"/>
          <w:b/>
          <w:bCs/>
          <w:sz w:val="24"/>
          <w:szCs w:val="24"/>
        </w:rPr>
        <w:tab/>
      </w:r>
      <w:r w:rsidR="00407450">
        <w:rPr>
          <w:rFonts w:cs="Arial"/>
          <w:b/>
          <w:bCs/>
          <w:sz w:val="24"/>
          <w:szCs w:val="24"/>
        </w:rPr>
        <w:tab/>
      </w:r>
      <w:r w:rsidR="00407450">
        <w:rPr>
          <w:rFonts w:cs="Arial"/>
          <w:b/>
          <w:bCs/>
          <w:sz w:val="24"/>
          <w:szCs w:val="24"/>
        </w:rPr>
        <w:tab/>
      </w:r>
      <w:r w:rsidR="00407450">
        <w:rPr>
          <w:rFonts w:cs="Arial"/>
          <w:b/>
          <w:bCs/>
          <w:sz w:val="24"/>
          <w:szCs w:val="24"/>
        </w:rPr>
        <w:tab/>
        <w:t xml:space="preserve">   </w:t>
      </w:r>
      <w:proofErr w:type="gramStart"/>
      <w:r w:rsidR="00407450">
        <w:rPr>
          <w:rFonts w:cs="Arial"/>
          <w:b/>
          <w:bCs/>
          <w:sz w:val="24"/>
          <w:szCs w:val="24"/>
        </w:rPr>
        <w:t xml:space="preserve">   </w:t>
      </w:r>
      <w:r w:rsidR="00407450" w:rsidRPr="00DC7400">
        <w:rPr>
          <w:rFonts w:eastAsia="Batang" w:cs="Arial"/>
          <w:b/>
          <w:bCs/>
          <w:color w:val="0000FF"/>
          <w:sz w:val="24"/>
          <w:szCs w:val="24"/>
          <w:lang w:eastAsia="zh-CN"/>
        </w:rPr>
        <w:t>(</w:t>
      </w:r>
      <w:proofErr w:type="gramEnd"/>
      <w:r w:rsidR="00407450" w:rsidRPr="00DC7400">
        <w:rPr>
          <w:rFonts w:eastAsia="Batang" w:cs="Arial"/>
          <w:b/>
          <w:bCs/>
          <w:color w:val="0000FF"/>
          <w:sz w:val="24"/>
          <w:szCs w:val="24"/>
          <w:lang w:eastAsia="zh-CN"/>
        </w:rPr>
        <w:t>revision of</w:t>
      </w:r>
      <w:r w:rsidR="00407450">
        <w:rPr>
          <w:rFonts w:eastAsia="Batang" w:cs="Arial"/>
          <w:b/>
          <w:bCs/>
          <w:color w:val="0000FF"/>
          <w:sz w:val="24"/>
          <w:szCs w:val="24"/>
          <w:lang w:eastAsia="zh-CN"/>
        </w:rPr>
        <w:t xml:space="preserve"> S2-240</w:t>
      </w:r>
      <w:r w:rsidR="00132EE4">
        <w:rPr>
          <w:rFonts w:eastAsia="Batang" w:cs="Arial"/>
          <w:b/>
          <w:bCs/>
          <w:color w:val="0000FF"/>
          <w:sz w:val="24"/>
          <w:szCs w:val="24"/>
          <w:lang w:eastAsia="zh-CN"/>
        </w:rPr>
        <w:t>0662</w:t>
      </w:r>
      <w:r w:rsidR="00407450" w:rsidRPr="00DC7400">
        <w:rPr>
          <w:rFonts w:eastAsia="Batang" w:cs="Arial"/>
          <w:b/>
          <w:bCs/>
          <w:color w:val="0000FF"/>
          <w:sz w:val="24"/>
          <w:szCs w:val="24"/>
          <w:lang w:eastAsia="zh-CN"/>
        </w:rPr>
        <w:t>)</w:t>
      </w:r>
    </w:p>
    <w:p w14:paraId="395039C3" w14:textId="77777777" w:rsidR="001E0D64" w:rsidRPr="00567D28" w:rsidRDefault="001E0D64" w:rsidP="001E0D64">
      <w:pPr>
        <w:pStyle w:val="CRCoverPage"/>
        <w:pBdr>
          <w:bottom w:val="single" w:sz="6" w:space="0" w:color="auto"/>
        </w:pBdr>
        <w:tabs>
          <w:tab w:val="right" w:pos="9638"/>
        </w:tabs>
        <w:spacing w:after="0"/>
        <w:outlineLvl w:val="0"/>
        <w:rPr>
          <w:b/>
          <w:noProof/>
          <w:sz w:val="24"/>
        </w:rPr>
      </w:pPr>
    </w:p>
    <w:p w14:paraId="55C4B6F8" w14:textId="77777777" w:rsidR="001E0D64" w:rsidRDefault="001E0D64" w:rsidP="001E0D64">
      <w:pPr>
        <w:pStyle w:val="CRCoverPage"/>
        <w:tabs>
          <w:tab w:val="right" w:pos="9638"/>
        </w:tabs>
        <w:spacing w:after="0"/>
        <w:outlineLvl w:val="0"/>
        <w:rPr>
          <w:b/>
          <w:noProof/>
          <w:sz w:val="24"/>
        </w:rPr>
      </w:pPr>
    </w:p>
    <w:p w14:paraId="76AC2CB8" w14:textId="77777777" w:rsidR="001E0D64" w:rsidRDefault="001E0D64" w:rsidP="001E0D64">
      <w:pPr>
        <w:ind w:left="2527" w:right="200" w:hanging="2127"/>
        <w:rPr>
          <w:rFonts w:ascii="Arial" w:hAnsi="Arial" w:cs="Arial"/>
          <w:b/>
        </w:rPr>
      </w:pPr>
      <w:r>
        <w:rPr>
          <w:rFonts w:ascii="Arial" w:hAnsi="Arial" w:cs="Arial"/>
          <w:b/>
        </w:rPr>
        <w:t>Source:</w:t>
      </w:r>
      <w:r>
        <w:rPr>
          <w:rFonts w:ascii="Arial" w:hAnsi="Arial" w:cs="Arial"/>
          <w:b/>
        </w:rPr>
        <w:tab/>
        <w:t>Nokia, Nokia Shanghai Bell (Rapporteur)</w:t>
      </w:r>
    </w:p>
    <w:p w14:paraId="463C8CE0" w14:textId="2C2FB2E3" w:rsidR="001E0D64" w:rsidRPr="007D2B69" w:rsidRDefault="001E0D64" w:rsidP="001E0D64">
      <w:pPr>
        <w:ind w:left="2527" w:right="200" w:hanging="2127"/>
        <w:rPr>
          <w:rFonts w:cs="Arial"/>
          <w:b/>
        </w:rPr>
      </w:pPr>
      <w:r w:rsidRPr="007D2B69">
        <w:rPr>
          <w:rFonts w:ascii="Arial" w:hAnsi="Arial" w:cs="Arial"/>
          <w:b/>
        </w:rPr>
        <w:t>Title:</w:t>
      </w:r>
      <w:r w:rsidRPr="007D2B69">
        <w:rPr>
          <w:rFonts w:ascii="Arial" w:hAnsi="Arial" w:cs="Arial"/>
          <w:b/>
        </w:rPr>
        <w:tab/>
      </w:r>
      <w:bookmarkStart w:id="0" w:name="_Hlk106637215"/>
      <w:r w:rsidRPr="007D2B69">
        <w:rPr>
          <w:rFonts w:ascii="Arial" w:hAnsi="Arial" w:cs="Arial"/>
          <w:b/>
        </w:rPr>
        <w:t xml:space="preserve">New WID: </w:t>
      </w:r>
      <w:r w:rsidR="00015452">
        <w:rPr>
          <w:rFonts w:ascii="Arial" w:hAnsi="Arial" w:cs="Arial"/>
          <w:b/>
          <w:bCs/>
        </w:rPr>
        <w:t>TEI19_SSDRM</w:t>
      </w:r>
      <w:r w:rsidRPr="007D2B69">
        <w:rPr>
          <w:rFonts w:ascii="Arial" w:hAnsi="Arial" w:cs="Arial"/>
          <w:b/>
          <w:bCs/>
        </w:rPr>
        <w:t xml:space="preserve">; </w:t>
      </w:r>
      <w:bookmarkEnd w:id="0"/>
      <w:r w:rsidR="00015452">
        <w:rPr>
          <w:rFonts w:ascii="Arial" w:hAnsi="Arial" w:cs="Arial"/>
          <w:b/>
          <w:bCs/>
        </w:rPr>
        <w:t>SMSF Service Deactivation in case of inter-RAT Mobility</w:t>
      </w:r>
    </w:p>
    <w:p w14:paraId="1BF534EF" w14:textId="10A742B9" w:rsidR="001E0D64" w:rsidRPr="007D2B69" w:rsidRDefault="001E0D64" w:rsidP="001E0D64">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015452">
        <w:rPr>
          <w:rFonts w:ascii="Arial" w:hAnsi="Arial" w:cs="Arial"/>
          <w:b/>
        </w:rPr>
        <w:t>Approval</w:t>
      </w:r>
    </w:p>
    <w:p w14:paraId="28FC7A36" w14:textId="411BE74B" w:rsidR="001E0D64" w:rsidRPr="007D2B69" w:rsidRDefault="001E0D64" w:rsidP="001E0D64">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015452">
        <w:rPr>
          <w:rFonts w:ascii="Arial" w:hAnsi="Arial" w:cs="Arial"/>
          <w:b/>
        </w:rPr>
        <w:t>30.2</w:t>
      </w:r>
    </w:p>
    <w:p w14:paraId="110F6C52" w14:textId="5670BC7A" w:rsidR="001E489F" w:rsidRPr="006C2E80" w:rsidRDefault="001E489F" w:rsidP="001E0D64">
      <w:pPr>
        <w:tabs>
          <w:tab w:val="left" w:pos="2127"/>
        </w:tabs>
        <w:ind w:left="2127" w:hanging="2127"/>
        <w:jc w:val="both"/>
        <w:outlineLvl w:val="0"/>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6F37914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ED1345">
        <w:rPr>
          <w:rFonts w:ascii="Arial" w:eastAsia="Times New Roman" w:hAnsi="Arial" w:cs="Times New Roman"/>
          <w:color w:val="auto"/>
          <w:sz w:val="36"/>
          <w:szCs w:val="20"/>
          <w:lang w:eastAsia="ja-JP"/>
        </w:rPr>
        <w:t>SMSF Service Deactivation in case of inter-RAT Mobility</w:t>
      </w:r>
    </w:p>
    <w:p w14:paraId="1845B441" w14:textId="0FD76CAC" w:rsidR="001E489F" w:rsidRPr="00BA3A53" w:rsidRDefault="001E489F" w:rsidP="001E489F">
      <w:pPr>
        <w:pStyle w:val="Guidance"/>
      </w:pPr>
    </w:p>
    <w:p w14:paraId="4520DCE2" w14:textId="7B8685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E0D64" w:rsidRPr="003743F0">
        <w:rPr>
          <w:rFonts w:ascii="Arial" w:eastAsia="Times New Roman" w:hAnsi="Arial" w:cs="Times New Roman"/>
          <w:color w:val="auto"/>
          <w:sz w:val="36"/>
          <w:szCs w:val="20"/>
          <w:lang w:eastAsia="ja-JP"/>
        </w:rPr>
        <w:t>TEI19_</w:t>
      </w:r>
      <w:r w:rsidR="00ED1345">
        <w:rPr>
          <w:rFonts w:ascii="Arial" w:eastAsia="Times New Roman" w:hAnsi="Arial" w:cs="Times New Roman"/>
          <w:color w:val="auto"/>
          <w:sz w:val="36"/>
          <w:szCs w:val="20"/>
          <w:lang w:eastAsia="ja-JP"/>
        </w:rPr>
        <w:t>SSDRM</w:t>
      </w:r>
    </w:p>
    <w:p w14:paraId="18C69795" w14:textId="003F40A2"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630DC2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E0D64">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46F8E9E8"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B79DD4C" w:rsidR="001E489F" w:rsidRDefault="001E0D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BF41821" w:rsidR="001E489F" w:rsidRDefault="001E0D64" w:rsidP="005875D6">
            <w:pPr>
              <w:pStyle w:val="TAC"/>
            </w:pPr>
            <w:r>
              <w:t>x</w:t>
            </w:r>
          </w:p>
        </w:tc>
        <w:tc>
          <w:tcPr>
            <w:tcW w:w="1037" w:type="dxa"/>
          </w:tcPr>
          <w:p w14:paraId="0602D5C7" w14:textId="311D2A9F" w:rsidR="001E489F" w:rsidRDefault="00ED1345" w:rsidP="005875D6">
            <w:pPr>
              <w:pStyle w:val="TAC"/>
            </w:pPr>
            <w:r>
              <w:t>x</w:t>
            </w:r>
          </w:p>
        </w:tc>
        <w:tc>
          <w:tcPr>
            <w:tcW w:w="850" w:type="dxa"/>
          </w:tcPr>
          <w:p w14:paraId="35CFDED4" w14:textId="61D037A8" w:rsidR="001E489F" w:rsidRDefault="001E0D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6B47AF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E4E5346" w:rsidR="007861B8" w:rsidRDefault="001E0D6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1D55ED17" w14:textId="77777777" w:rsidR="001E489F" w:rsidRPr="006C2E80" w:rsidRDefault="001E489F" w:rsidP="001E489F">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w:t>
      </w:r>
      <w:proofErr w:type="gramStart"/>
      <w:r w:rsidRPr="006C2E80">
        <w:t>. }</w:t>
      </w:r>
      <w:proofErr w:type="gramEnd"/>
    </w:p>
    <w:p w14:paraId="0475473A" w14:textId="77777777" w:rsidR="001E489F" w:rsidRPr="006C2E80" w:rsidRDefault="001E489F" w:rsidP="001E489F">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53446B59" w:rsidR="001E489F" w:rsidRDefault="001E0D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971DF98" w:rsidR="001E489F" w:rsidRDefault="001E489F" w:rsidP="005875D6">
            <w:pPr>
              <w:pStyle w:val="TAL"/>
            </w:pPr>
          </w:p>
        </w:tc>
        <w:tc>
          <w:tcPr>
            <w:tcW w:w="3326" w:type="dxa"/>
          </w:tcPr>
          <w:p w14:paraId="3AC061FD" w14:textId="125F684D"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EB724C1" w14:textId="5CE36FA0" w:rsidR="00555A8E" w:rsidRDefault="00F575B8" w:rsidP="00555A8E">
      <w:pPr>
        <w:rPr>
          <w:lang w:eastAsia="zh-CN"/>
        </w:rPr>
      </w:pPr>
      <w:r>
        <w:rPr>
          <w:lang w:eastAsia="zh-CN"/>
        </w:rPr>
        <w:t xml:space="preserve">In some deployments, the 5G radio coverage may be patchy. This causes the UE to frequently switch to the 4G and then back to 5G. This is referred to as </w:t>
      </w:r>
      <w:r w:rsidR="00774827">
        <w:rPr>
          <w:lang w:eastAsia="zh-CN"/>
        </w:rPr>
        <w:t>"inter-RAT mobility"</w:t>
      </w:r>
      <w:r>
        <w:rPr>
          <w:lang w:eastAsia="zh-CN"/>
        </w:rPr>
        <w:t xml:space="preserve">. </w:t>
      </w:r>
      <w:r w:rsidR="00774827">
        <w:rPr>
          <w:iCs/>
        </w:rPr>
        <w:t xml:space="preserve">If the UE has registered for SMS, </w:t>
      </w:r>
      <w:r w:rsidR="00774827">
        <w:rPr>
          <w:lang w:eastAsia="zh-CN"/>
        </w:rPr>
        <w:t>a</w:t>
      </w:r>
      <w:r>
        <w:rPr>
          <w:lang w:eastAsia="zh-CN"/>
        </w:rPr>
        <w:t xml:space="preserve"> frequent </w:t>
      </w:r>
      <w:r w:rsidR="00774827">
        <w:rPr>
          <w:lang w:eastAsia="zh-CN"/>
        </w:rPr>
        <w:t xml:space="preserve">"inter-RAT mobility" </w:t>
      </w:r>
      <w:r>
        <w:rPr>
          <w:lang w:eastAsia="zh-CN"/>
        </w:rPr>
        <w:t xml:space="preserve">causes a significant resource consumption </w:t>
      </w:r>
      <w:r w:rsidR="00774827">
        <w:rPr>
          <w:lang w:eastAsia="zh-CN"/>
        </w:rPr>
        <w:t>at the</w:t>
      </w:r>
      <w:r>
        <w:rPr>
          <w:lang w:eastAsia="zh-CN"/>
        </w:rPr>
        <w:t xml:space="preserve"> SMSF, UDM and UDR, given that successive mobility events between 4G and 5G cause several service operations between the SMSF and UDM and between the UDM and UDR</w:t>
      </w:r>
      <w:r w:rsidR="00555A8E">
        <w:rPr>
          <w:lang w:eastAsia="zh-CN"/>
        </w:rPr>
        <w:t xml:space="preserve"> for </w:t>
      </w:r>
      <w:r w:rsidR="00555A8E">
        <w:rPr>
          <w:iCs/>
        </w:rPr>
        <w:t>the removal and re-construction of the UE registration state for SMS</w:t>
      </w:r>
      <w:r>
        <w:rPr>
          <w:lang w:eastAsia="zh-CN"/>
        </w:rPr>
        <w:t>.</w:t>
      </w:r>
    </w:p>
    <w:p w14:paraId="455E237C" w14:textId="77777777" w:rsidR="00555A8E" w:rsidRDefault="00555A8E" w:rsidP="00555A8E">
      <w:pPr>
        <w:rPr>
          <w:lang w:eastAsia="zh-CN"/>
        </w:rPr>
      </w:pPr>
    </w:p>
    <w:p w14:paraId="0C71702F" w14:textId="2A69D1E5" w:rsidR="00F575B8" w:rsidRDefault="00F575B8" w:rsidP="00555A8E">
      <w:pPr>
        <w:rPr>
          <w:lang w:eastAsia="zh-CN"/>
        </w:rPr>
      </w:pPr>
      <w:r>
        <w:rPr>
          <w:lang w:eastAsia="zh-CN"/>
        </w:rPr>
        <w:t>Thus, it could be beneficial if the network preserves SMSF context e.g. by skipping SMSF Deregistration at the UDM when the UE moves to 4G to be re</w:t>
      </w:r>
      <w:r w:rsidR="00957205">
        <w:rPr>
          <w:lang w:eastAsia="zh-CN"/>
        </w:rPr>
        <w:t>-</w:t>
      </w:r>
      <w:r>
        <w:rPr>
          <w:lang w:eastAsia="zh-CN"/>
        </w:rPr>
        <w:t>used when the UE returns to 5G. A performance benefit for SMSF, UDM and UDR could be achieved if SMSF skipped the SMSF Deregistration in case of "inter-RAT mobility</w:t>
      </w:r>
      <w:r w:rsidR="00555A8E">
        <w:rPr>
          <w:lang w:eastAsia="zh-CN"/>
        </w:rPr>
        <w:t>"</w:t>
      </w:r>
      <w:r w:rsidR="00957205">
        <w:rPr>
          <w:lang w:eastAsia="zh-CN"/>
        </w:rPr>
        <w:t xml:space="preserve"> from </w:t>
      </w:r>
      <w:r w:rsidR="00165ADB">
        <w:rPr>
          <w:lang w:eastAsia="zh-CN"/>
        </w:rPr>
        <w:t>5G</w:t>
      </w:r>
      <w:r w:rsidR="00957205">
        <w:rPr>
          <w:lang w:eastAsia="zh-CN"/>
        </w:rPr>
        <w:t xml:space="preserve"> to </w:t>
      </w:r>
      <w:r w:rsidR="00165ADB">
        <w:rPr>
          <w:lang w:eastAsia="zh-CN"/>
        </w:rPr>
        <w:t>4</w:t>
      </w:r>
      <w:r w:rsidR="00957205">
        <w:rPr>
          <w:lang w:eastAsia="zh-CN"/>
        </w:rPr>
        <w:t>G</w:t>
      </w:r>
      <w:r>
        <w:rPr>
          <w:lang w:eastAsia="zh-CN"/>
        </w:rPr>
        <w:t>.</w:t>
      </w:r>
    </w:p>
    <w:p w14:paraId="76E97CDC" w14:textId="77777777" w:rsidR="00F575B8" w:rsidRDefault="00F575B8" w:rsidP="00F575B8">
      <w:pPr>
        <w:rPr>
          <w:lang w:eastAsia="zh-CN"/>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B971AEF" w14:textId="6F01AC70" w:rsidR="00E55CF4" w:rsidRDefault="00E55CF4" w:rsidP="00E55CF4">
      <w:r>
        <w:t xml:space="preserve">Minimise core network signalling when the UE moves frequently back and forth between the 4G and 5G area of the RPLMN. This can be achieved by allowing the SMSF to deactivate the UE registration for SMS while storing the registration state information </w:t>
      </w:r>
      <w:proofErr w:type="gramStart"/>
      <w:r>
        <w:t>in order to</w:t>
      </w:r>
      <w:proofErr w:type="gramEnd"/>
      <w:r>
        <w:t xml:space="preserve"> be able to restore it later on with minimal signalling when the same UE moves back to 5G area.</w:t>
      </w:r>
    </w:p>
    <w:p w14:paraId="4D72F973" w14:textId="77777777" w:rsidR="00E55CF4" w:rsidRDefault="00E55CF4" w:rsidP="00E55CF4"/>
    <w:p w14:paraId="3F076353" w14:textId="59605D80" w:rsidR="00E55CF4" w:rsidRDefault="00E55CF4" w:rsidP="00E55CF4">
      <w:r>
        <w:t>Make the SMSF aware that the deregistration from SMS in 5G occurs because of mobility to 4G and not because of UE deregistration. This allows the SMSF to maintain the UE registration state for possible subsequent inter-system mobility back to 5G.</w:t>
      </w:r>
    </w:p>
    <w:p w14:paraId="339771EE" w14:textId="77777777" w:rsidR="00E55CF4" w:rsidRDefault="00E55CF4" w:rsidP="00E55CF4"/>
    <w:p w14:paraId="51194A54" w14:textId="77777777" w:rsidR="00E55CF4" w:rsidRDefault="00E55CF4" w:rsidP="00E55CF4">
      <w:pPr>
        <w:pStyle w:val="Heading2"/>
      </w:pPr>
      <w:r>
        <w:t>TU estimates and dependencies</w:t>
      </w:r>
    </w:p>
    <w:p w14:paraId="52455A25" w14:textId="77777777" w:rsidR="00E55CF4" w:rsidRDefault="00E55CF4" w:rsidP="00E55CF4"/>
    <w:tbl>
      <w:tblPr>
        <w:tblW w:w="744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1480"/>
        <w:gridCol w:w="2106"/>
        <w:gridCol w:w="2291"/>
      </w:tblGrid>
      <w:tr w:rsidR="00E55CF4" w14:paraId="13980E72" w14:textId="77777777" w:rsidTr="007C6271">
        <w:tc>
          <w:tcPr>
            <w:tcW w:w="1571" w:type="dxa"/>
            <w:tcBorders>
              <w:top w:val="single" w:sz="4" w:space="0" w:color="auto"/>
              <w:left w:val="single" w:sz="4" w:space="0" w:color="auto"/>
              <w:bottom w:val="single" w:sz="4" w:space="0" w:color="auto"/>
              <w:right w:val="single" w:sz="4" w:space="0" w:color="auto"/>
            </w:tcBorders>
            <w:hideMark/>
          </w:tcPr>
          <w:p w14:paraId="49A03148" w14:textId="77777777" w:rsidR="00E55CF4" w:rsidRDefault="00E55CF4" w:rsidP="007C6271">
            <w:r>
              <w:t>TU Estimate</w:t>
            </w:r>
          </w:p>
          <w:p w14:paraId="218F69F4" w14:textId="77777777" w:rsidR="00E55CF4" w:rsidRDefault="00E55CF4" w:rsidP="007C6271">
            <w:r>
              <w:t>(Study)</w:t>
            </w:r>
          </w:p>
        </w:tc>
        <w:tc>
          <w:tcPr>
            <w:tcW w:w="1480" w:type="dxa"/>
            <w:tcBorders>
              <w:top w:val="single" w:sz="4" w:space="0" w:color="auto"/>
              <w:left w:val="single" w:sz="4" w:space="0" w:color="auto"/>
              <w:bottom w:val="single" w:sz="4" w:space="0" w:color="auto"/>
              <w:right w:val="single" w:sz="4" w:space="0" w:color="auto"/>
            </w:tcBorders>
            <w:hideMark/>
          </w:tcPr>
          <w:p w14:paraId="15E08478" w14:textId="77777777" w:rsidR="00E55CF4" w:rsidRDefault="00E55CF4" w:rsidP="007C6271">
            <w:r>
              <w:t>TU Estimate</w:t>
            </w:r>
          </w:p>
          <w:p w14:paraId="6146A65D" w14:textId="77777777" w:rsidR="00E55CF4" w:rsidRDefault="00E55CF4" w:rsidP="007C6271">
            <w:r>
              <w:t>(Normative)</w:t>
            </w:r>
          </w:p>
        </w:tc>
        <w:tc>
          <w:tcPr>
            <w:tcW w:w="2106" w:type="dxa"/>
            <w:tcBorders>
              <w:top w:val="single" w:sz="4" w:space="0" w:color="auto"/>
              <w:left w:val="single" w:sz="4" w:space="0" w:color="auto"/>
              <w:bottom w:val="single" w:sz="4" w:space="0" w:color="auto"/>
              <w:right w:val="single" w:sz="4" w:space="0" w:color="auto"/>
            </w:tcBorders>
            <w:hideMark/>
          </w:tcPr>
          <w:p w14:paraId="6E693585" w14:textId="77777777" w:rsidR="00E55CF4" w:rsidRDefault="00E55CF4" w:rsidP="007C6271">
            <w:r>
              <w:t>RAN Dependency</w:t>
            </w:r>
          </w:p>
          <w:p w14:paraId="55371332" w14:textId="77777777" w:rsidR="00E55CF4" w:rsidRDefault="00E55CF4" w:rsidP="007C6271">
            <w:r>
              <w:t>(Yes/No/Maybe)</w:t>
            </w:r>
          </w:p>
        </w:tc>
        <w:tc>
          <w:tcPr>
            <w:tcW w:w="2291" w:type="dxa"/>
            <w:tcBorders>
              <w:top w:val="single" w:sz="4" w:space="0" w:color="auto"/>
              <w:left w:val="single" w:sz="4" w:space="0" w:color="auto"/>
              <w:bottom w:val="single" w:sz="4" w:space="0" w:color="auto"/>
              <w:right w:val="single" w:sz="4" w:space="0" w:color="auto"/>
            </w:tcBorders>
          </w:tcPr>
          <w:p w14:paraId="3CE843F3" w14:textId="77777777" w:rsidR="00E55CF4" w:rsidRDefault="00E55CF4" w:rsidP="007C6271">
            <w:r>
              <w:t>Inter Work Tasks Dependency</w:t>
            </w:r>
          </w:p>
          <w:p w14:paraId="35839280" w14:textId="77777777" w:rsidR="00E55CF4" w:rsidRDefault="00E55CF4" w:rsidP="007C6271"/>
        </w:tc>
      </w:tr>
      <w:tr w:rsidR="00E55CF4" w14:paraId="07F93C6B" w14:textId="77777777" w:rsidTr="007C6271">
        <w:tc>
          <w:tcPr>
            <w:tcW w:w="1571" w:type="dxa"/>
            <w:tcBorders>
              <w:top w:val="single" w:sz="4" w:space="0" w:color="auto"/>
              <w:left w:val="single" w:sz="4" w:space="0" w:color="auto"/>
              <w:bottom w:val="single" w:sz="4" w:space="0" w:color="auto"/>
              <w:right w:val="single" w:sz="4" w:space="0" w:color="auto"/>
            </w:tcBorders>
            <w:hideMark/>
          </w:tcPr>
          <w:p w14:paraId="4B6EEC00" w14:textId="77777777" w:rsidR="00E55CF4" w:rsidRPr="00DF5F71" w:rsidRDefault="00E55CF4" w:rsidP="007C6271">
            <w:pPr>
              <w:jc w:val="center"/>
            </w:pPr>
            <w:r w:rsidRPr="00DF5F71">
              <w:lastRenderedPageBreak/>
              <w:t>0</w:t>
            </w:r>
          </w:p>
        </w:tc>
        <w:tc>
          <w:tcPr>
            <w:tcW w:w="1480" w:type="dxa"/>
            <w:tcBorders>
              <w:top w:val="single" w:sz="4" w:space="0" w:color="auto"/>
              <w:left w:val="single" w:sz="4" w:space="0" w:color="auto"/>
              <w:bottom w:val="single" w:sz="4" w:space="0" w:color="auto"/>
              <w:right w:val="single" w:sz="4" w:space="0" w:color="auto"/>
            </w:tcBorders>
            <w:hideMark/>
          </w:tcPr>
          <w:p w14:paraId="7960ABDD" w14:textId="33EDC44D" w:rsidR="00E55CF4" w:rsidRPr="00DF5F71" w:rsidRDefault="00BD0B89" w:rsidP="007C6271">
            <w:pPr>
              <w:jc w:val="center"/>
            </w:pPr>
            <w:r>
              <w:t>0.5</w:t>
            </w:r>
          </w:p>
        </w:tc>
        <w:tc>
          <w:tcPr>
            <w:tcW w:w="2106" w:type="dxa"/>
            <w:tcBorders>
              <w:top w:val="single" w:sz="4" w:space="0" w:color="auto"/>
              <w:left w:val="single" w:sz="4" w:space="0" w:color="auto"/>
              <w:bottom w:val="single" w:sz="4" w:space="0" w:color="auto"/>
              <w:right w:val="single" w:sz="4" w:space="0" w:color="auto"/>
            </w:tcBorders>
            <w:hideMark/>
          </w:tcPr>
          <w:p w14:paraId="0CAE44C2" w14:textId="77777777" w:rsidR="00E55CF4" w:rsidRPr="00DF5F71" w:rsidRDefault="00E55CF4" w:rsidP="007C6271">
            <w:pPr>
              <w:jc w:val="center"/>
            </w:pPr>
            <w:r w:rsidRPr="00DF5F71">
              <w:t>No</w:t>
            </w:r>
          </w:p>
        </w:tc>
        <w:tc>
          <w:tcPr>
            <w:tcW w:w="2291" w:type="dxa"/>
            <w:tcBorders>
              <w:top w:val="single" w:sz="4" w:space="0" w:color="auto"/>
              <w:left w:val="single" w:sz="4" w:space="0" w:color="auto"/>
              <w:bottom w:val="single" w:sz="4" w:space="0" w:color="auto"/>
              <w:right w:val="single" w:sz="4" w:space="0" w:color="auto"/>
            </w:tcBorders>
          </w:tcPr>
          <w:p w14:paraId="1490898A" w14:textId="77777777" w:rsidR="00E55CF4" w:rsidRPr="00DF5F71" w:rsidRDefault="00E55CF4" w:rsidP="007C6271">
            <w:pPr>
              <w:jc w:val="center"/>
            </w:pPr>
            <w:r w:rsidRPr="00DF5F71">
              <w:t>No</w:t>
            </w:r>
          </w:p>
        </w:tc>
      </w:tr>
    </w:tbl>
    <w:p w14:paraId="1DC60778" w14:textId="77777777" w:rsidR="00E55CF4" w:rsidRDefault="00E55CF4" w:rsidP="00E55CF4"/>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46F565" w:rsidR="001E489F" w:rsidRPr="006C2E80" w:rsidRDefault="009A0702" w:rsidP="009A0702">
            <w:pPr>
              <w:pStyle w:val="TAL"/>
            </w:pPr>
            <w:r w:rsidRPr="00DA5F97">
              <w:t>TS 23.502</w:t>
            </w:r>
          </w:p>
        </w:tc>
        <w:tc>
          <w:tcPr>
            <w:tcW w:w="4344" w:type="dxa"/>
            <w:tcBorders>
              <w:top w:val="single" w:sz="4" w:space="0" w:color="auto"/>
              <w:left w:val="single" w:sz="4" w:space="0" w:color="auto"/>
              <w:bottom w:val="single" w:sz="4" w:space="0" w:color="auto"/>
              <w:right w:val="single" w:sz="4" w:space="0" w:color="auto"/>
            </w:tcBorders>
          </w:tcPr>
          <w:p w14:paraId="292C4506" w14:textId="596331AF" w:rsidR="001E489F" w:rsidRPr="006C2E80" w:rsidRDefault="009A0702" w:rsidP="009A0702">
            <w:pPr>
              <w:pStyle w:val="TAL"/>
            </w:pPr>
            <w:r w:rsidRPr="00DA5F97">
              <w:t xml:space="preserve">Addition of deactivation cause </w:t>
            </w:r>
            <w:r>
              <w:t xml:space="preserve">in </w:t>
            </w:r>
            <w:r w:rsidRPr="00140E21">
              <w:t>Nsmsf_SMS</w:t>
            </w:r>
            <w:r w:rsidRPr="00140E21">
              <w:rPr>
                <w:lang w:eastAsia="zh-CN"/>
              </w:rPr>
              <w:t>ervice_Deactivate service</w:t>
            </w:r>
            <w:r w:rsidRPr="00DA5F97">
              <w:t xml:space="preserve"> </w:t>
            </w:r>
            <w:r>
              <w:t xml:space="preserve">operation and </w:t>
            </w:r>
            <w:r w:rsidRPr="00DA5F97">
              <w:t xml:space="preserve">handling </w:t>
            </w:r>
            <w:r>
              <w:t xml:space="preserve">of deactivation cause </w:t>
            </w:r>
            <w:r w:rsidRPr="00DA5F97">
              <w:t xml:space="preserve">in </w:t>
            </w:r>
            <w:r>
              <w:t xml:space="preserve">AMF and </w:t>
            </w:r>
            <w:r w:rsidRPr="00DA5F97">
              <w:t>SMSF</w:t>
            </w:r>
          </w:p>
        </w:tc>
        <w:tc>
          <w:tcPr>
            <w:tcW w:w="1417" w:type="dxa"/>
            <w:tcBorders>
              <w:top w:val="single" w:sz="4" w:space="0" w:color="auto"/>
              <w:left w:val="single" w:sz="4" w:space="0" w:color="auto"/>
              <w:bottom w:val="single" w:sz="4" w:space="0" w:color="auto"/>
              <w:right w:val="single" w:sz="4" w:space="0" w:color="auto"/>
            </w:tcBorders>
          </w:tcPr>
          <w:p w14:paraId="2260CA0D" w14:textId="75DFE44C" w:rsidR="001E489F" w:rsidRPr="006C2E80" w:rsidRDefault="008B3361" w:rsidP="009A0702">
            <w:pPr>
              <w:pStyle w:val="TAL"/>
            </w:pPr>
            <w:r>
              <w:t>TSG</w:t>
            </w:r>
            <w:r w:rsidR="009A0702">
              <w:t xml:space="preserve"> SA</w:t>
            </w:r>
            <w:r>
              <w:t>#104</w:t>
            </w:r>
          </w:p>
        </w:tc>
        <w:tc>
          <w:tcPr>
            <w:tcW w:w="2101" w:type="dxa"/>
            <w:tcBorders>
              <w:top w:val="single" w:sz="4" w:space="0" w:color="auto"/>
              <w:left w:val="single" w:sz="4" w:space="0" w:color="auto"/>
              <w:bottom w:val="single" w:sz="4" w:space="0" w:color="auto"/>
              <w:right w:val="single" w:sz="4" w:space="0" w:color="auto"/>
            </w:tcBorders>
          </w:tcPr>
          <w:p w14:paraId="76342A83" w14:textId="4060FBD2" w:rsidR="001E489F" w:rsidRPr="006C2E80" w:rsidRDefault="000321B5" w:rsidP="009A0702">
            <w:pPr>
              <w:pStyle w:val="TAL"/>
            </w:pPr>
            <w:r w:rsidRPr="00FA0CD3">
              <w:rPr>
                <w:iCs/>
              </w:rPr>
              <w:t>Stage 2 CR(s) to introduce deactivation cause and the SMSF use of it.</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A786AB3" w:rsidR="001E489F" w:rsidRPr="008B3361" w:rsidRDefault="009A0702" w:rsidP="001E489F">
      <w:pPr>
        <w:pStyle w:val="Guidance"/>
        <w:rPr>
          <w:i w:val="0"/>
          <w:iCs/>
        </w:rPr>
      </w:pPr>
      <w:r>
        <w:rPr>
          <w:i w:val="0"/>
          <w:iCs/>
        </w:rPr>
        <w:t>Gupta</w:t>
      </w:r>
      <w:r w:rsidR="008B3361" w:rsidRPr="008B3361">
        <w:rPr>
          <w:i w:val="0"/>
          <w:iCs/>
        </w:rPr>
        <w:t xml:space="preserve">, </w:t>
      </w:r>
      <w:r>
        <w:rPr>
          <w:i w:val="0"/>
          <w:iCs/>
        </w:rPr>
        <w:t>Pallab</w:t>
      </w:r>
      <w:r w:rsidR="008B3361" w:rsidRPr="008B3361">
        <w:rPr>
          <w:i w:val="0"/>
          <w:iCs/>
        </w:rPr>
        <w:t xml:space="preserve">, Nokia, </w:t>
      </w:r>
      <w:r>
        <w:rPr>
          <w:i w:val="0"/>
          <w:iCs/>
        </w:rPr>
        <w:t>pallab</w:t>
      </w:r>
      <w:r w:rsidR="008B3361" w:rsidRPr="008B3361">
        <w:rPr>
          <w:i w:val="0"/>
          <w:iCs/>
        </w:rPr>
        <w:t xml:space="preserve"> (dot) </w:t>
      </w:r>
      <w:r>
        <w:rPr>
          <w:i w:val="0"/>
          <w:iCs/>
        </w:rPr>
        <w:t>gupta</w:t>
      </w:r>
      <w:r w:rsidR="008B3361" w:rsidRPr="008B3361">
        <w:rPr>
          <w:i w:val="0"/>
          <w:iCs/>
        </w:rPr>
        <w:t xml:space="preserve"> (at) Nokia (dot) com</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5FCA4C16" w:rsidR="001E489F" w:rsidRPr="006C2E80" w:rsidRDefault="008B3361" w:rsidP="001E489F">
      <w:pPr>
        <w:pStyle w:val="Guidance"/>
      </w:pPr>
      <w: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1E7B3B" w14:textId="7545CA68" w:rsidR="007861B8" w:rsidRPr="0072294E" w:rsidRDefault="008B3361" w:rsidP="001E489F">
      <w:pPr>
        <w:pStyle w:val="Guidance"/>
      </w:pPr>
      <w:r>
        <w:t>Not applicable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57C7E514" w:rsidR="001E489F" w:rsidRDefault="003743F0"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10832642" w:rsidR="001E489F" w:rsidRDefault="003743F0" w:rsidP="005875D6">
            <w:pPr>
              <w:pStyle w:val="TAL"/>
            </w:pPr>
            <w:r>
              <w:t>Nokia Shanghai</w:t>
            </w:r>
            <w:r w:rsidR="00140FD3">
              <w:t xml:space="preserve"> </w:t>
            </w:r>
            <w:r>
              <w:t>Bell</w:t>
            </w:r>
          </w:p>
        </w:tc>
      </w:tr>
      <w:tr w:rsidR="001E489F" w14:paraId="5425D30D" w14:textId="77777777" w:rsidTr="005875D6">
        <w:trPr>
          <w:cantSplit/>
          <w:jc w:val="center"/>
        </w:trPr>
        <w:tc>
          <w:tcPr>
            <w:tcW w:w="5029" w:type="dxa"/>
            <w:shd w:val="clear" w:color="auto" w:fill="auto"/>
          </w:tcPr>
          <w:p w14:paraId="37445962" w14:textId="61E6153B" w:rsidR="001E489F" w:rsidRDefault="00406DA8" w:rsidP="005875D6">
            <w:pPr>
              <w:pStyle w:val="TAL"/>
            </w:pPr>
            <w:r>
              <w:t>T-Mobile</w:t>
            </w: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8D6D1" w14:textId="77777777" w:rsidR="00693D70" w:rsidRDefault="00693D70">
      <w:r>
        <w:separator/>
      </w:r>
    </w:p>
  </w:endnote>
  <w:endnote w:type="continuationSeparator" w:id="0">
    <w:p w14:paraId="31B20BFA" w14:textId="77777777" w:rsidR="00693D70" w:rsidRDefault="0069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8F349" w14:textId="77777777" w:rsidR="00693D70" w:rsidRDefault="00693D70">
      <w:r>
        <w:separator/>
      </w:r>
    </w:p>
  </w:footnote>
  <w:footnote w:type="continuationSeparator" w:id="0">
    <w:p w14:paraId="22D1D9AF" w14:textId="77777777" w:rsidR="00693D70" w:rsidRDefault="00693D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859462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5452"/>
    <w:rsid w:val="0002191A"/>
    <w:rsid w:val="0003016C"/>
    <w:rsid w:val="00030CD4"/>
    <w:rsid w:val="000321B5"/>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EE4"/>
    <w:rsid w:val="00135831"/>
    <w:rsid w:val="001376A6"/>
    <w:rsid w:val="00140FD3"/>
    <w:rsid w:val="001424CD"/>
    <w:rsid w:val="0014389B"/>
    <w:rsid w:val="0014413C"/>
    <w:rsid w:val="00150C36"/>
    <w:rsid w:val="00157F50"/>
    <w:rsid w:val="00157FFB"/>
    <w:rsid w:val="001607AE"/>
    <w:rsid w:val="00165ADB"/>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0D64"/>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BC0"/>
    <w:rsid w:val="00354553"/>
    <w:rsid w:val="003715B7"/>
    <w:rsid w:val="003743F0"/>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DA8"/>
    <w:rsid w:val="00407450"/>
    <w:rsid w:val="004101AB"/>
    <w:rsid w:val="00411339"/>
    <w:rsid w:val="004131BD"/>
    <w:rsid w:val="004159BE"/>
    <w:rsid w:val="00416CEA"/>
    <w:rsid w:val="00421AFD"/>
    <w:rsid w:val="004246F2"/>
    <w:rsid w:val="00432048"/>
    <w:rsid w:val="00442C65"/>
    <w:rsid w:val="00445C7C"/>
    <w:rsid w:val="00451122"/>
    <w:rsid w:val="004518DB"/>
    <w:rsid w:val="004562FC"/>
    <w:rsid w:val="00476175"/>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5A8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08C3"/>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4827"/>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3361"/>
    <w:rsid w:val="008C6434"/>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4DB3"/>
    <w:rsid w:val="0095038B"/>
    <w:rsid w:val="00950CF7"/>
    <w:rsid w:val="00957205"/>
    <w:rsid w:val="00960A44"/>
    <w:rsid w:val="00970864"/>
    <w:rsid w:val="009736D5"/>
    <w:rsid w:val="009740BC"/>
    <w:rsid w:val="009768C3"/>
    <w:rsid w:val="00977C43"/>
    <w:rsid w:val="0098195A"/>
    <w:rsid w:val="00990EEE"/>
    <w:rsid w:val="00996533"/>
    <w:rsid w:val="009A0093"/>
    <w:rsid w:val="009A0702"/>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6689F"/>
    <w:rsid w:val="00A8222F"/>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0B89"/>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1466"/>
    <w:rsid w:val="00D145EC"/>
    <w:rsid w:val="00D202CB"/>
    <w:rsid w:val="00D355FB"/>
    <w:rsid w:val="00D43C0B"/>
    <w:rsid w:val="00D44A74"/>
    <w:rsid w:val="00D57CD2"/>
    <w:rsid w:val="00D57E66"/>
    <w:rsid w:val="00D73350"/>
    <w:rsid w:val="00D82231"/>
    <w:rsid w:val="00D8756E"/>
    <w:rsid w:val="00D938DD"/>
    <w:rsid w:val="00D95EAB"/>
    <w:rsid w:val="00D974EA"/>
    <w:rsid w:val="00DA29AC"/>
    <w:rsid w:val="00DA329A"/>
    <w:rsid w:val="00DA5F97"/>
    <w:rsid w:val="00DB521B"/>
    <w:rsid w:val="00DC0F52"/>
    <w:rsid w:val="00DC4726"/>
    <w:rsid w:val="00DD0692"/>
    <w:rsid w:val="00DD0AAB"/>
    <w:rsid w:val="00DD3C66"/>
    <w:rsid w:val="00DD40D2"/>
    <w:rsid w:val="00DE5BBF"/>
    <w:rsid w:val="00DF01BE"/>
    <w:rsid w:val="00E013A9"/>
    <w:rsid w:val="00E03A99"/>
    <w:rsid w:val="00E041CD"/>
    <w:rsid w:val="00E04B51"/>
    <w:rsid w:val="00E06534"/>
    <w:rsid w:val="00E126A5"/>
    <w:rsid w:val="00E1463F"/>
    <w:rsid w:val="00E34AA9"/>
    <w:rsid w:val="00E363A9"/>
    <w:rsid w:val="00E413E0"/>
    <w:rsid w:val="00E53AE3"/>
    <w:rsid w:val="00E5574A"/>
    <w:rsid w:val="00E55CF4"/>
    <w:rsid w:val="00E64FB2"/>
    <w:rsid w:val="00E67B7D"/>
    <w:rsid w:val="00E81E2C"/>
    <w:rsid w:val="00E82FBF"/>
    <w:rsid w:val="00E8386E"/>
    <w:rsid w:val="00EA662E"/>
    <w:rsid w:val="00EB5D2F"/>
    <w:rsid w:val="00EC10EC"/>
    <w:rsid w:val="00EC456C"/>
    <w:rsid w:val="00ED1345"/>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75B8"/>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locked/>
    <w:rsid w:val="001E0D64"/>
    <w:rPr>
      <w:rFonts w:ascii="Arial" w:hAnsi="Arial"/>
      <w:lang w:eastAsia="en-US"/>
    </w:rPr>
  </w:style>
  <w:style w:type="character" w:customStyle="1" w:styleId="B1Char">
    <w:name w:val="B1 Char"/>
    <w:link w:val="B1"/>
    <w:qFormat/>
    <w:rsid w:val="001E0D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5AIRPNAIUNRU-2028481721-9883</_dlc_DocId>
    <_dlc_DocIdUrl xmlns="71c5aaf6-e6ce-465b-b873-5148d2a4c105">
      <Url>https://nokia.sharepoint.com/sites/c5g/e2earch/_layouts/15/DocIdRedir.aspx?ID=5AIRPNAIUNRU-2028481721-9883</Url>
      <Description>5AIRPNAIUNRU-2028481721-9883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8BE172-64B9-498D-88A4-514C0EECDEB5}">
  <ds:schemaRefs>
    <ds:schemaRef ds:uri="http://schemas.microsoft.com/sharepoint/events"/>
  </ds:schemaRefs>
</ds:datastoreItem>
</file>

<file path=customXml/itemProps2.xml><?xml version="1.0" encoding="utf-8"?>
<ds:datastoreItem xmlns:ds="http://schemas.openxmlformats.org/officeDocument/2006/customXml" ds:itemID="{1DB9DBC2-452A-4FAE-8749-23C644F53561}">
  <ds:schemaRefs>
    <ds:schemaRef ds:uri="http://schemas.microsoft.com/sharepoint/v3/contenttype/forms"/>
  </ds:schemaRefs>
</ds:datastoreItem>
</file>

<file path=customXml/itemProps3.xml><?xml version="1.0" encoding="utf-8"?>
<ds:datastoreItem xmlns:ds="http://schemas.openxmlformats.org/officeDocument/2006/customXml" ds:itemID="{74917E02-98E7-4CD9-8491-DF96BC79B42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FEC79DF1-F97F-4BA0-81C1-2DB63132D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0BE464-A458-4E92-A142-227445A808E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3</Pages>
  <Words>806</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Pallab</cp:lastModifiedBy>
  <cp:revision>25</cp:revision>
  <cp:lastPrinted>2001-04-23T09:30:00Z</cp:lastPrinted>
  <dcterms:created xsi:type="dcterms:W3CDTF">2024-01-09T10:24:00Z</dcterms:created>
  <dcterms:modified xsi:type="dcterms:W3CDTF">2024-02-16T08:28:00Z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a32da77f-ea88-437b-8a40-7e60874573c2</vt:lpwstr>
  </property>
</Properties>
</file>